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FC52B">
      <w:pPr>
        <w:pStyle w:val="7"/>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晋江市市场监督管理局</w:t>
      </w:r>
    </w:p>
    <w:p w14:paraId="4A0C07D8">
      <w:pPr>
        <w:pStyle w:val="7"/>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行政处罚决定书</w:t>
      </w:r>
    </w:p>
    <w:p w14:paraId="4A95C1CF">
      <w:pPr>
        <w:tabs>
          <w:tab w:val="left" w:pos="2725"/>
        </w:tabs>
        <w:spacing w:before="156" w:beforeLines="50" w:after="156" w:afterLines="50" w:line="560" w:lineRule="exact"/>
        <w:jc w:val="center"/>
        <w:rPr>
          <w:rFonts w:ascii="仿宋" w:hAnsi="仿宋" w:eastAsia="仿宋" w:cs="仿宋"/>
          <w:sz w:val="32"/>
          <w:szCs w:val="32"/>
        </w:rPr>
      </w:pPr>
      <w:r>
        <w:rPr>
          <w:rFonts w:hint="eastAsia" w:ascii="仿宋" w:hAnsi="仿宋" w:eastAsia="仿宋" w:cs="仿宋"/>
          <w:sz w:val="32"/>
          <w:szCs w:val="32"/>
        </w:rPr>
        <w:t>晋市监处罚〔202</w:t>
      </w:r>
      <w:r>
        <w:rPr>
          <w:rFonts w:hint="eastAsia" w:ascii="仿宋" w:hAnsi="仿宋" w:eastAsia="仿宋" w:cs="仿宋"/>
          <w:sz w:val="32"/>
          <w:szCs w:val="32"/>
          <w:lang w:val="en-US" w:eastAsia="zh-CN"/>
        </w:rPr>
        <w:t>6</w:t>
      </w:r>
      <w:r>
        <w:rPr>
          <w:rFonts w:hint="eastAsia" w:ascii="仿宋" w:hAnsi="仿宋" w:eastAsia="仿宋" w:cs="仿宋"/>
          <w:sz w:val="32"/>
          <w:szCs w:val="32"/>
        </w:rPr>
        <w:t>〕07-</w:t>
      </w:r>
      <w:r>
        <w:rPr>
          <w:rFonts w:hint="eastAsia" w:ascii="仿宋" w:hAnsi="仿宋" w:eastAsia="仿宋" w:cs="仿宋"/>
          <w:sz w:val="32"/>
          <w:szCs w:val="32"/>
          <w:lang w:val="en-US" w:eastAsia="zh-CN"/>
        </w:rPr>
        <w:t>009</w:t>
      </w:r>
      <w:r>
        <w:rPr>
          <w:rFonts w:hint="eastAsia" w:ascii="仿宋" w:hAnsi="仿宋" w:eastAsia="仿宋" w:cs="仿宋"/>
          <w:sz w:val="32"/>
          <w:szCs w:val="32"/>
        </w:rPr>
        <w:t>号</w:t>
      </w:r>
    </w:p>
    <w:p w14:paraId="3C960D20">
      <w:pPr>
        <w:keepNext w:val="0"/>
        <w:keepLines w:val="0"/>
        <w:pageBreakBefore w:val="0"/>
        <w:widowControl w:val="0"/>
        <w:kinsoku/>
        <w:wordWrap/>
        <w:overflowPunct/>
        <w:topLinePunct w:val="0"/>
        <w:autoSpaceDE w:val="0"/>
        <w:autoSpaceDN w:val="0"/>
        <w:adjustRightInd w:val="0"/>
        <w:snapToGrid w:val="0"/>
        <w:spacing w:line="520" w:lineRule="exact"/>
        <w:textAlignment w:val="baseline"/>
        <w:rPr>
          <w:rFonts w:hint="eastAsia" w:ascii="仿宋" w:hAnsi="仿宋" w:eastAsia="仿宋" w:cs="仿宋"/>
          <w:sz w:val="32"/>
          <w:szCs w:val="32"/>
        </w:rPr>
      </w:pPr>
      <w:r>
        <w:rPr>
          <w:rFonts w:hint="eastAsia" w:ascii="仿宋" w:hAnsi="仿宋" w:eastAsia="仿宋" w:cs="仿宋"/>
          <w:sz w:val="32"/>
          <w:szCs w:val="32"/>
        </w:rPr>
        <w:t>当事人：</w:t>
      </w:r>
      <w:r>
        <w:rPr>
          <w:rFonts w:hint="eastAsia" w:ascii="仿宋" w:hAnsi="仿宋" w:eastAsia="仿宋" w:cs="仿宋"/>
          <w:sz w:val="32"/>
          <w:szCs w:val="32"/>
          <w:u w:val="single"/>
        </w:rPr>
        <w:t xml:space="preserve"> 晋江古粮道食品有限责任公司                                         </w:t>
      </w:r>
      <w:r>
        <w:rPr>
          <w:rFonts w:hint="eastAsia" w:ascii="仿宋" w:hAnsi="仿宋" w:eastAsia="仿宋" w:cs="仿宋"/>
          <w:sz w:val="32"/>
          <w:szCs w:val="32"/>
        </w:rPr>
        <w:t xml:space="preserve"> 主体资格证照名称：</w:t>
      </w:r>
      <w:r>
        <w:rPr>
          <w:rFonts w:hint="eastAsia" w:ascii="仿宋" w:hAnsi="仿宋" w:eastAsia="仿宋" w:cs="仿宋"/>
          <w:sz w:val="32"/>
          <w:szCs w:val="32"/>
          <w:u w:val="single"/>
        </w:rPr>
        <w:t xml:space="preserve">  营业执照                         </w:t>
      </w:r>
      <w:r>
        <w:rPr>
          <w:rFonts w:hint="eastAsia" w:ascii="仿宋" w:hAnsi="仿宋" w:eastAsia="仿宋" w:cs="仿宋"/>
          <w:sz w:val="32"/>
          <w:szCs w:val="32"/>
        </w:rPr>
        <w:t xml:space="preserve"> 统一社会信用代码：</w:t>
      </w:r>
      <w:r>
        <w:rPr>
          <w:rFonts w:hint="eastAsia" w:ascii="仿宋" w:hAnsi="仿宋" w:eastAsia="仿宋" w:cs="仿宋"/>
          <w:sz w:val="32"/>
          <w:szCs w:val="32"/>
          <w:u w:val="single"/>
        </w:rPr>
        <w:t xml:space="preserve"> 91350582MA32FU8X98                   </w:t>
      </w:r>
      <w:r>
        <w:rPr>
          <w:rFonts w:hint="eastAsia" w:ascii="仿宋" w:hAnsi="仿宋" w:eastAsia="仿宋" w:cs="仿宋"/>
          <w:sz w:val="32"/>
          <w:szCs w:val="32"/>
        </w:rPr>
        <w:t xml:space="preserve"> 住所（住址）：</w:t>
      </w:r>
      <w:r>
        <w:rPr>
          <w:rFonts w:hint="eastAsia" w:ascii="仿宋" w:hAnsi="仿宋" w:eastAsia="仿宋" w:cs="仿宋"/>
          <w:spacing w:val="-11"/>
          <w:sz w:val="32"/>
          <w:szCs w:val="32"/>
          <w:u w:val="single"/>
          <w:lang w:val="en-US" w:eastAsia="zh-CN"/>
        </w:rPr>
        <w:t>福建省泉州市晋江市东石镇萧下村金垵区*号</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p>
    <w:p w14:paraId="598E4A39">
      <w:pPr>
        <w:keepNext w:val="0"/>
        <w:keepLines w:val="0"/>
        <w:pageBreakBefore w:val="0"/>
        <w:widowControl w:val="0"/>
        <w:kinsoku/>
        <w:wordWrap/>
        <w:overflowPunct/>
        <w:topLinePunct w:val="0"/>
        <w:autoSpaceDE w:val="0"/>
        <w:autoSpaceDN w:val="0"/>
        <w:adjustRightInd w:val="0"/>
        <w:snapToGrid w:val="0"/>
        <w:spacing w:line="520" w:lineRule="exact"/>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法定代表人（负责人、经营者）</w:t>
      </w:r>
      <w:r>
        <w:rPr>
          <w:rFonts w:hint="eastAsia" w:ascii="仿宋" w:hAnsi="仿宋" w:eastAsia="仿宋" w:cs="仿宋"/>
          <w:sz w:val="32"/>
          <w:szCs w:val="32"/>
        </w:rPr>
        <w:t>：</w:t>
      </w:r>
      <w:r>
        <w:rPr>
          <w:rFonts w:hint="eastAsia" w:ascii="仿宋" w:hAnsi="仿宋" w:eastAsia="仿宋" w:cs="仿宋"/>
          <w:sz w:val="32"/>
          <w:szCs w:val="32"/>
          <w:u w:val="single"/>
        </w:rPr>
        <w:t xml:space="preserve"> 肖荣兴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p>
    <w:p w14:paraId="6EFA1B29">
      <w:pPr>
        <w:keepNext w:val="0"/>
        <w:keepLines w:val="0"/>
        <w:pageBreakBefore w:val="0"/>
        <w:widowControl w:val="0"/>
        <w:kinsoku/>
        <w:wordWrap w:val="0"/>
        <w:overflowPunct/>
        <w:topLinePunct w:val="0"/>
        <w:autoSpaceDE w:val="0"/>
        <w:autoSpaceDN w:val="0"/>
        <w:bidi w:val="0"/>
        <w:adjustRightInd w:val="0"/>
        <w:snapToGrid w:val="0"/>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2025年12月8日，我局收到国家市场监督管理总局食品安全智慧监管系统的风险监测两份检验报告，一份检验报告（No：食专2025-12-0335F）显示晋江古粮道食品有限责任公司生产的红薯淀粉（规格型号：200g/袋，生产日期：2025-01-01）存在问题项项目：红薯源性成分、玉米源性成分、马铃薯源性成分；另一份检测报告（No：食专2025-12-0221F）显示晋江古粮道食品有限责任公司生产的红薯淀粉（规格型号：200g/袋，生产日期：2025-03-29）存在问题项项目：红薯源性成分、玉米源性成分、马铃薯源性成分。2025年12月12日，执法人员依法对当事人生产经营场所进行现场检查并向当事人送达上述2份检验报告，现场未发现涉案2批次产品库存、产品留样。当事人现场提供涉案批次产品的原料采购、生产、销售台账记录。当事人确认涉案批次产品是其生产，当事人对检验报告结论没有异议。在食品安全风险监测核查处置过程中，当事人对上述2批次“红薯淀粉”源性成分异常原因初步排查后表示上述2批次产品实为“玉米淀粉”，因员工操作失误将“红薯淀粉”与“玉米淀粉”的包装袋混装，导致2批次均出现红薯源性成分实测值未检出，玉米源性成分实测值检出。因当事人</w:t>
      </w:r>
      <w:r>
        <w:rPr>
          <w:rFonts w:hint="eastAsia" w:ascii="仿宋" w:hAnsi="仿宋" w:eastAsia="仿宋" w:cs="仿宋"/>
          <w:sz w:val="32"/>
          <w:szCs w:val="32"/>
          <w:lang w:val="en-US" w:eastAsia="zh-CN"/>
        </w:rPr>
        <w:t>其行为</w:t>
      </w:r>
      <w:r>
        <w:rPr>
          <w:rFonts w:hint="eastAsia" w:ascii="仿宋" w:hAnsi="仿宋" w:eastAsia="仿宋" w:cs="仿宋"/>
          <w:sz w:val="32"/>
          <w:szCs w:val="32"/>
        </w:rPr>
        <w:t>涉嫌违反了《中华人民共和国食品安全法》第七十一条第一款的规定，经领导批准</w:t>
      </w:r>
      <w:r>
        <w:rPr>
          <w:rFonts w:hint="eastAsia" w:ascii="仿宋" w:hAnsi="仿宋" w:eastAsia="仿宋" w:cs="仿宋"/>
          <w:sz w:val="32"/>
          <w:szCs w:val="32"/>
          <w:lang w:val="en-US" w:eastAsia="zh-CN"/>
        </w:rPr>
        <w:t>于</w:t>
      </w:r>
      <w:r>
        <w:rPr>
          <w:rFonts w:hint="eastAsia" w:ascii="仿宋" w:hAnsi="仿宋" w:eastAsia="仿宋" w:cs="仿宋"/>
          <w:sz w:val="32"/>
          <w:szCs w:val="32"/>
        </w:rPr>
        <w:t>2026年1月14日立案调查。</w:t>
      </w:r>
    </w:p>
    <w:p w14:paraId="26BF745C">
      <w:pPr>
        <w:keepNext w:val="0"/>
        <w:keepLines w:val="0"/>
        <w:pageBreakBefore w:val="0"/>
        <w:widowControl w:val="0"/>
        <w:kinsoku/>
        <w:wordWrap w:val="0"/>
        <w:overflowPunct/>
        <w:topLinePunct w:val="0"/>
        <w:autoSpaceDE w:val="0"/>
        <w:autoSpaceDN w:val="0"/>
        <w:bidi w:val="0"/>
        <w:adjustRightInd w:val="0"/>
        <w:snapToGrid w:val="0"/>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经查实，当事人于2025年1月1日生产“红薯淀粉”63包（规格200g/包），其中3包用于自检，没有留样，30包于2025年1月7日销售给厦门鑫味远商贸有限公司，剩余30包于2025年5月7日销售给闽侯县恒祥贸易有限公司。该批次产品销售价3元/包，共计销售60包，经营额180元；当事人于2025年3月29日生产“红薯淀粉”243包（规格200g/包），其中3包用于自检，没有留样，2025年6月7日销售60包、2025年6月18日销售90包、2025年8月15日销售90包，均售往闽侯县恒祥贸易有限公司。销售价为3元/包，共计销售240包，经营额720元。案发后，当事人立即制定召回计划并发布召回公告，因产品销售时间跨度长，召回数量为0。据此认定，本案当事人货值金额共计918元，违法所得共计900元。</w:t>
      </w:r>
    </w:p>
    <w:p w14:paraId="1722B4F8">
      <w:pPr>
        <w:keepNext w:val="0"/>
        <w:keepLines w:val="0"/>
        <w:pageBreakBefore w:val="0"/>
        <w:widowControl w:val="0"/>
        <w:kinsoku/>
        <w:wordWrap w:val="0"/>
        <w:overflowPunct/>
        <w:topLinePunct w:val="0"/>
        <w:autoSpaceDE w:val="0"/>
        <w:autoSpaceDN w:val="0"/>
        <w:bidi w:val="0"/>
        <w:adjustRightInd w:val="0"/>
        <w:snapToGrid w:val="0"/>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经查明，当事人有建立涉案批次产品的生产销售台账，但未按照规定落实留样制度，当事人对涉案2批次产品源性成分异常原因进行分析，原因为员工没有核对包装材料标签信息，将玉米淀粉使用红薯淀粉包装材料进行分装。</w:t>
      </w:r>
    </w:p>
    <w:p w14:paraId="7A6AF8E6">
      <w:pPr>
        <w:keepNext w:val="0"/>
        <w:keepLines w:val="0"/>
        <w:pageBreakBefore w:val="0"/>
        <w:widowControl w:val="0"/>
        <w:kinsoku/>
        <w:wordWrap/>
        <w:overflowPunct/>
        <w:topLinePunct w:val="0"/>
        <w:autoSpaceDE w:val="0"/>
        <w:autoSpaceDN w:val="0"/>
        <w:adjustRightInd w:val="0"/>
        <w:snapToGrid w:val="0"/>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上述事实，主要有以下证据证明：检验报告2份、现场笔录、现场照片</w:t>
      </w:r>
      <w:r>
        <w:rPr>
          <w:rFonts w:hint="eastAsia" w:ascii="仿宋" w:hAnsi="仿宋" w:eastAsia="仿宋" w:cs="仿宋"/>
          <w:sz w:val="32"/>
          <w:szCs w:val="32"/>
          <w:lang w:eastAsia="zh-CN"/>
        </w:rPr>
        <w:t>、询问笔录2份、原料领料单、生产计划单、包材领料单、分装登记表、出入库台账、销售台账、出厂检验报告单、发货单、涉案批次产品的供应商资质及进货单据等材料、营业执照、生产许可证、法人身份证等复印件、召回公告、食品召回计划报告表、召回总结及整改报告</w:t>
      </w:r>
      <w:r>
        <w:rPr>
          <w:rFonts w:hint="eastAsia" w:ascii="仿宋" w:hAnsi="仿宋" w:eastAsia="仿宋" w:cs="仿宋"/>
          <w:sz w:val="32"/>
          <w:szCs w:val="32"/>
        </w:rPr>
        <w:t>。</w:t>
      </w:r>
    </w:p>
    <w:p w14:paraId="74DB9812">
      <w:pPr>
        <w:keepNext w:val="0"/>
        <w:keepLines w:val="0"/>
        <w:pageBreakBefore w:val="0"/>
        <w:widowControl w:val="0"/>
        <w:kinsoku/>
        <w:wordWrap/>
        <w:overflowPunct/>
        <w:topLinePunct w:val="0"/>
        <w:autoSpaceDE w:val="0"/>
        <w:autoSpaceDN w:val="0"/>
        <w:adjustRightInd w:val="0"/>
        <w:snapToGrid w:val="0"/>
        <w:spacing w:line="520" w:lineRule="exact"/>
        <w:ind w:firstLine="640" w:firstLineChars="200"/>
        <w:textAlignment w:val="baseline"/>
        <w:rPr>
          <w:rFonts w:hint="eastAsia" w:ascii="仿宋" w:hAnsi="仿宋" w:eastAsia="仿宋" w:cs="仿宋"/>
          <w:sz w:val="32"/>
          <w:szCs w:val="32"/>
          <w:u w:val="single"/>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6</w:t>
      </w:r>
      <w:r>
        <w:rPr>
          <w:rFonts w:hint="eastAsia" w:ascii="仿宋" w:hAnsi="仿宋" w:eastAsia="仿宋" w:cs="仿宋"/>
          <w:sz w:val="32"/>
          <w:szCs w:val="32"/>
        </w:rPr>
        <w:t>日，本局向当事人送达了《行政处罚告知书》(晋市监罚告〔202</w:t>
      </w:r>
      <w:r>
        <w:rPr>
          <w:rFonts w:hint="eastAsia" w:ascii="仿宋" w:hAnsi="仿宋" w:eastAsia="仿宋" w:cs="仿宋"/>
          <w:sz w:val="32"/>
          <w:szCs w:val="32"/>
          <w:lang w:val="en-US" w:eastAsia="zh-CN"/>
        </w:rPr>
        <w:t>6</w:t>
      </w:r>
      <w:r>
        <w:rPr>
          <w:rFonts w:hint="eastAsia" w:ascii="仿宋" w:hAnsi="仿宋" w:eastAsia="仿宋" w:cs="仿宋"/>
          <w:sz w:val="32"/>
          <w:szCs w:val="32"/>
        </w:rPr>
        <w:t>〕07-</w:t>
      </w:r>
      <w:r>
        <w:rPr>
          <w:rFonts w:hint="eastAsia" w:ascii="仿宋" w:hAnsi="仿宋" w:eastAsia="仿宋" w:cs="仿宋"/>
          <w:sz w:val="32"/>
          <w:szCs w:val="32"/>
          <w:lang w:val="en-US" w:eastAsia="zh-CN"/>
        </w:rPr>
        <w:t>035</w:t>
      </w:r>
      <w:r>
        <w:rPr>
          <w:rFonts w:hint="eastAsia" w:ascii="仿宋" w:hAnsi="仿宋" w:eastAsia="仿宋" w:cs="仿宋"/>
          <w:sz w:val="32"/>
          <w:szCs w:val="32"/>
        </w:rPr>
        <w:t>号)，当事人在法定期限内未提出陈述和申辩意见。</w:t>
      </w:r>
    </w:p>
    <w:p w14:paraId="35404679">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综上所述，本局认为：</w:t>
      </w:r>
    </w:p>
    <w:p w14:paraId="0F311F11">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一、当事人生产经营标签不符合规定食品的行为违反了《中华人民共和国食品安全法》第七十一条第一款的规定；</w:t>
      </w:r>
    </w:p>
    <w:p w14:paraId="7338E799">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二、当事人未对出厂产品留存样品的行为，违反《福建省食品安全条例》第二十一条的规定。</w:t>
      </w:r>
    </w:p>
    <w:p w14:paraId="148A05ED">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 w:hAnsi="仿宋" w:eastAsia="仿宋" w:cs="仿宋"/>
          <w:sz w:val="32"/>
          <w:szCs w:val="32"/>
          <w:lang w:eastAsia="zh-CN"/>
        </w:rPr>
      </w:pPr>
      <w:r>
        <w:rPr>
          <w:rFonts w:hint="eastAsia" w:ascii="仿宋" w:hAnsi="仿宋" w:eastAsia="仿宋" w:cs="仿宋"/>
          <w:sz w:val="32"/>
          <w:szCs w:val="32"/>
        </w:rPr>
        <w:t>鉴于当事人积极配合市场监督管理部门调查，如实陈述违法事实并主动提供证据材料，依据《福建省市场监督管理行政处罚裁量权适用规则》第十一条第二项规定可以从轻或者减轻处罚情节。对当事人生产标签不符合规定的行为，依据《福建省市场监督管理系统适用&lt;食品安全法&gt;行政处罚裁量基准》SP-4从轻</w:t>
      </w:r>
      <w:bookmarkStart w:id="0" w:name="_GoBack"/>
      <w:r>
        <w:rPr>
          <w:rFonts w:hint="eastAsia" w:ascii="仿宋" w:hAnsi="仿宋" w:eastAsia="仿宋" w:cs="仿宋"/>
          <w:sz w:val="32"/>
          <w:szCs w:val="32"/>
        </w:rPr>
        <w:t>情节</w:t>
      </w:r>
      <w:bookmarkEnd w:id="0"/>
      <w:r>
        <w:rPr>
          <w:rFonts w:hint="eastAsia" w:ascii="仿宋" w:hAnsi="仿宋" w:eastAsia="仿宋" w:cs="仿宋"/>
          <w:sz w:val="32"/>
          <w:szCs w:val="32"/>
        </w:rPr>
        <w:t>规定予以处罚</w:t>
      </w:r>
      <w:r>
        <w:rPr>
          <w:rFonts w:hint="eastAsia" w:ascii="仿宋" w:hAnsi="仿宋" w:eastAsia="仿宋" w:cs="仿宋"/>
          <w:sz w:val="32"/>
          <w:szCs w:val="32"/>
          <w:lang w:eastAsia="zh-CN"/>
        </w:rPr>
        <w:t>。</w:t>
      </w:r>
    </w:p>
    <w:p w14:paraId="00543ED7">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一、对当事人生产标签不符合规定的行为，依据《中华人民共和国食品安全法》第一百二十五条第一款第二项及《中华人民共和国行政处罚法》第二十八条第一款的规定，本局责令当事人改正生产标签不符合规定食品的违法行为，并</w:t>
      </w:r>
      <w:r>
        <w:rPr>
          <w:rFonts w:hint="eastAsia" w:ascii="仿宋" w:hAnsi="仿宋" w:eastAsia="仿宋" w:cs="仿宋"/>
          <w:sz w:val="32"/>
          <w:szCs w:val="32"/>
          <w:lang w:val="en-US" w:eastAsia="zh-CN"/>
        </w:rPr>
        <w:t>决定</w:t>
      </w:r>
      <w:r>
        <w:rPr>
          <w:rFonts w:hint="eastAsia" w:ascii="仿宋" w:hAnsi="仿宋" w:eastAsia="仿宋" w:cs="仿宋"/>
          <w:sz w:val="32"/>
          <w:szCs w:val="32"/>
        </w:rPr>
        <w:t>作出处罚如下：</w:t>
      </w:r>
    </w:p>
    <w:p w14:paraId="3DF6E110">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1、处以罚款5100元。</w:t>
      </w:r>
    </w:p>
    <w:p w14:paraId="3EBBF088">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2、没收违法所得900元。</w:t>
      </w:r>
    </w:p>
    <w:p w14:paraId="168CCDA9">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二、对当事人未对出厂产品留存样品的行为，依据《福建省食品安全条例》第九十八条第四项规定，本局责令当事人改正，并给予警告。</w:t>
      </w:r>
    </w:p>
    <w:p w14:paraId="6595D787">
      <w:pPr>
        <w:keepNext w:val="0"/>
        <w:keepLines w:val="0"/>
        <w:pageBreakBefore w:val="0"/>
        <w:wordWrap/>
        <w:overflowPunct/>
        <w:topLinePunct w:val="0"/>
        <w:autoSpaceDE w:val="0"/>
        <w:autoSpaceDN w:val="0"/>
        <w:adjustRightInd w:val="0"/>
        <w:snapToGrid w:val="0"/>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当事人应当自收到本决定书之日起十五日内，持福建省政府非税收入缴款通知书（缴款码）到银行网点或者通过电子支付系统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5B3E6CFA">
      <w:pPr>
        <w:keepNext w:val="0"/>
        <w:keepLines w:val="0"/>
        <w:pageBreakBefore w:val="0"/>
        <w:widowControl w:val="0"/>
        <w:kinsoku/>
        <w:wordWrap/>
        <w:overflowPunct/>
        <w:topLinePunct w:val="0"/>
        <w:autoSpaceDE w:val="0"/>
        <w:autoSpaceDN w:val="0"/>
        <w:adjustRightInd w:val="0"/>
        <w:snapToGrid w:val="0"/>
        <w:spacing w:line="52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当事人如对本行政处罚决定不服，可在接到本行政处罚决定书之日起六十日内向晋江市人民政府申请复议，也可以六个月内依法向</w:t>
      </w:r>
      <w:r>
        <w:rPr>
          <w:rFonts w:hint="eastAsia" w:ascii="仿宋" w:hAnsi="仿宋" w:eastAsia="仿宋" w:cs="仿宋"/>
          <w:sz w:val="32"/>
          <w:szCs w:val="32"/>
          <w:lang w:val="en-US" w:eastAsia="zh-CN"/>
        </w:rPr>
        <w:t>泉州市洛江区</w:t>
      </w:r>
      <w:r>
        <w:rPr>
          <w:rFonts w:hint="eastAsia" w:ascii="仿宋" w:hAnsi="仿宋" w:eastAsia="仿宋" w:cs="仿宋"/>
          <w:sz w:val="32"/>
          <w:szCs w:val="32"/>
        </w:rPr>
        <w:t>人民法院提起行政诉讼。当事人对行政处罚决定不服而申请行政复议或者提起行政诉讼期间，行政处罚不停止执行，法律、法规、规章另有规定的，从其规定。</w:t>
      </w:r>
    </w:p>
    <w:p w14:paraId="583AC235">
      <w:pPr>
        <w:keepNext w:val="0"/>
        <w:keepLines w:val="0"/>
        <w:pageBreakBefore w:val="0"/>
        <w:widowControl w:val="0"/>
        <w:kinsoku/>
        <w:wordWrap/>
        <w:overflowPunct/>
        <w:topLinePunct w:val="0"/>
        <w:autoSpaceDE w:val="0"/>
        <w:autoSpaceDN w:val="0"/>
        <w:adjustRightInd w:val="0"/>
        <w:snapToGrid w:val="0"/>
        <w:spacing w:line="520" w:lineRule="exact"/>
        <w:textAlignment w:val="baseline"/>
        <w:rPr>
          <w:rFonts w:hint="eastAsia" w:ascii="仿宋" w:hAnsi="仿宋" w:eastAsia="仿宋" w:cs="仿宋"/>
          <w:sz w:val="32"/>
          <w:szCs w:val="32"/>
        </w:rPr>
      </w:pPr>
    </w:p>
    <w:p w14:paraId="3BDC385B">
      <w:pPr>
        <w:keepNext w:val="0"/>
        <w:keepLines w:val="0"/>
        <w:pageBreakBefore w:val="0"/>
        <w:widowControl w:val="0"/>
        <w:kinsoku/>
        <w:wordWrap/>
        <w:overflowPunct/>
        <w:topLinePunct w:val="0"/>
        <w:autoSpaceDE w:val="0"/>
        <w:autoSpaceDN w:val="0"/>
        <w:adjustRightInd w:val="0"/>
        <w:snapToGrid w:val="0"/>
        <w:spacing w:line="520" w:lineRule="exact"/>
        <w:textAlignment w:val="baseline"/>
        <w:rPr>
          <w:rFonts w:hint="eastAsia" w:ascii="仿宋" w:hAnsi="仿宋" w:eastAsia="仿宋" w:cs="仿宋"/>
          <w:sz w:val="32"/>
          <w:szCs w:val="32"/>
        </w:rPr>
      </w:pPr>
    </w:p>
    <w:p w14:paraId="68EDABC0">
      <w:pPr>
        <w:keepNext w:val="0"/>
        <w:keepLines w:val="0"/>
        <w:pageBreakBefore w:val="0"/>
        <w:widowControl w:val="0"/>
        <w:kinsoku/>
        <w:wordWrap/>
        <w:overflowPunct/>
        <w:topLinePunct w:val="0"/>
        <w:autoSpaceDE w:val="0"/>
        <w:autoSpaceDN w:val="0"/>
        <w:adjustRightInd w:val="0"/>
        <w:snapToGrid w:val="0"/>
        <w:spacing w:line="520" w:lineRule="exact"/>
        <w:textAlignment w:val="baseline"/>
        <w:rPr>
          <w:rFonts w:hint="eastAsia" w:ascii="仿宋" w:hAnsi="仿宋" w:eastAsia="仿宋" w:cs="仿宋"/>
          <w:sz w:val="32"/>
          <w:szCs w:val="32"/>
        </w:rPr>
      </w:pPr>
    </w:p>
    <w:p w14:paraId="1CB15DB6">
      <w:pPr>
        <w:keepNext w:val="0"/>
        <w:keepLines w:val="0"/>
        <w:pageBreakBefore w:val="0"/>
        <w:widowControl w:val="0"/>
        <w:tabs>
          <w:tab w:val="left" w:pos="5667"/>
        </w:tabs>
        <w:wordWrap/>
        <w:overflowPunct/>
        <w:topLinePunct w:val="0"/>
        <w:autoSpaceDE w:val="0"/>
        <w:autoSpaceDN w:val="0"/>
        <w:bidi/>
        <w:adjustRightInd w:val="0"/>
        <w:snapToGrid w:val="0"/>
        <w:spacing w:line="520" w:lineRule="exact"/>
        <w:ind w:right="840" w:rightChars="400"/>
        <w:textAlignment w:val="baseline"/>
        <w:rPr>
          <w:rFonts w:hint="eastAsia" w:ascii="仿宋" w:hAnsi="仿宋" w:eastAsia="仿宋" w:cs="仿宋"/>
          <w:sz w:val="32"/>
          <w:szCs w:val="32"/>
        </w:rPr>
      </w:pPr>
      <w:r>
        <w:rPr>
          <w:rFonts w:hint="eastAsia" w:ascii="仿宋" w:hAnsi="仿宋" w:eastAsia="仿宋" w:cs="仿宋"/>
          <w:sz w:val="32"/>
          <w:szCs w:val="32"/>
        </w:rPr>
        <w:t xml:space="preserve">晋江市市场监督管理局   </w:t>
      </w:r>
    </w:p>
    <w:p w14:paraId="52972CC1">
      <w:pPr>
        <w:keepNext w:val="0"/>
        <w:keepLines w:val="0"/>
        <w:pageBreakBefore w:val="0"/>
        <w:widowControl w:val="0"/>
        <w:wordWrap/>
        <w:overflowPunct/>
        <w:topLinePunct w:val="0"/>
        <w:autoSpaceDE w:val="0"/>
        <w:autoSpaceDN w:val="0"/>
        <w:bidi/>
        <w:adjustRightInd w:val="0"/>
        <w:snapToGrid w:val="0"/>
        <w:spacing w:line="520" w:lineRule="exact"/>
        <w:ind w:right="840" w:rightChars="400"/>
        <w:textAlignment w:val="baseline"/>
        <w:rPr>
          <w:rFonts w:ascii="黑体" w:hAnsi="黑体" w:eastAsia="黑体" w:cs="黑体"/>
          <w:color w:val="231F20"/>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14</w:t>
      </w:r>
      <w:r>
        <w:rPr>
          <w:rFonts w:hint="eastAsia" w:ascii="仿宋" w:hAnsi="仿宋" w:eastAsia="仿宋" w:cs="仿宋"/>
          <w:sz w:val="32"/>
          <w:szCs w:val="32"/>
        </w:rPr>
        <w:t xml:space="preserve">日 </w:t>
      </w:r>
      <w:r>
        <w:rPr>
          <w:rFonts w:hint="eastAsia" w:ascii="仿宋" w:hAnsi="仿宋" w:eastAsia="仿宋" w:cs="仿宋"/>
          <w:sz w:val="32"/>
        </w:rPr>
        <w:t xml:space="preserve">  </w:t>
      </w:r>
      <w:r>
        <w:rPr>
          <w:rFonts w:ascii="仿宋" w:hAnsi="仿宋" w:eastAsia="仿宋" w:cs="仿宋"/>
          <w:sz w:val="32"/>
        </w:rPr>
        <w:t xml:space="preserve">   </w:t>
      </w:r>
    </w:p>
    <w:p w14:paraId="10E7D955">
      <w:pPr>
        <w:spacing w:before="105" w:line="183" w:lineRule="auto"/>
        <w:rPr>
          <w:rFonts w:ascii="黑体" w:hAnsi="黑体" w:eastAsia="黑体" w:cs="黑体"/>
          <w:color w:val="231F20"/>
          <w:sz w:val="32"/>
          <w:szCs w:val="32"/>
        </w:rPr>
      </w:pPr>
    </w:p>
    <w:p w14:paraId="74939118">
      <w:pPr>
        <w:spacing w:before="105" w:line="183" w:lineRule="auto"/>
        <w:rPr>
          <w:rFonts w:ascii="黑体" w:hAnsi="黑体" w:eastAsia="黑体" w:cs="黑体"/>
          <w:color w:val="231F20"/>
          <w:sz w:val="32"/>
          <w:szCs w:val="32"/>
        </w:rPr>
      </w:pPr>
    </w:p>
    <w:p w14:paraId="5F25FCD3">
      <w:pPr>
        <w:spacing w:before="105" w:line="183" w:lineRule="auto"/>
        <w:rPr>
          <w:rFonts w:ascii="黑体" w:hAnsi="黑体" w:eastAsia="黑体" w:cs="黑体"/>
          <w:color w:val="231F20"/>
          <w:sz w:val="32"/>
          <w:szCs w:val="32"/>
        </w:rPr>
      </w:pPr>
    </w:p>
    <w:p w14:paraId="03517BC8">
      <w:pPr>
        <w:spacing w:before="105" w:line="183" w:lineRule="auto"/>
        <w:rPr>
          <w:rFonts w:ascii="黑体" w:hAnsi="黑体" w:eastAsia="黑体" w:cs="黑体"/>
          <w:color w:val="231F20"/>
          <w:sz w:val="32"/>
          <w:szCs w:val="32"/>
        </w:rPr>
      </w:pPr>
    </w:p>
    <w:p w14:paraId="0131DD97">
      <w:pPr>
        <w:spacing w:before="105" w:line="183" w:lineRule="auto"/>
        <w:rPr>
          <w:rFonts w:ascii="黑体" w:hAnsi="黑体" w:eastAsia="黑体" w:cs="黑体"/>
          <w:color w:val="231F20"/>
          <w:sz w:val="32"/>
          <w:szCs w:val="32"/>
        </w:rPr>
      </w:pPr>
    </w:p>
    <w:p w14:paraId="43B67568">
      <w:pPr>
        <w:spacing w:before="105" w:line="183" w:lineRule="auto"/>
        <w:ind w:firstLine="403"/>
        <w:jc w:val="center"/>
        <w:rPr>
          <w:rFonts w:ascii="仿宋" w:hAnsi="仿宋" w:eastAsia="仿宋" w:cs="仿宋"/>
          <w:b/>
          <w:bCs/>
          <w:sz w:val="28"/>
          <w:szCs w:val="28"/>
        </w:rPr>
      </w:pPr>
      <w:r>
        <w:rPr>
          <w:rFonts w:hint="eastAsia" w:ascii="仿宋" w:hAnsi="仿宋" w:eastAsia="仿宋" w:cs="仿宋"/>
          <w:b/>
          <w:bCs/>
          <w:sz w:val="28"/>
          <w:szCs w:val="28"/>
        </w:rPr>
        <w:t>（市场监督管理部门将依法向社会公开行政处罚决定信息）</w:t>
      </w:r>
    </w:p>
    <w:p w14:paraId="49C2EE4C">
      <w:pPr>
        <w:spacing w:line="26" w:lineRule="exact"/>
        <w:textAlignment w:val="center"/>
      </w:pPr>
      <w:r>
        <w:drawing>
          <wp:inline distT="0" distB="0" distL="0" distR="0">
            <wp:extent cx="5550535" cy="15875"/>
            <wp:effectExtent l="0" t="0" r="12065" b="6985"/>
            <wp:docPr id="229" name="IM 229"/>
            <wp:cNvGraphicFramePr/>
            <a:graphic xmlns:a="http://schemas.openxmlformats.org/drawingml/2006/main">
              <a:graphicData uri="http://schemas.openxmlformats.org/drawingml/2006/picture">
                <pic:pic xmlns:pic="http://schemas.openxmlformats.org/drawingml/2006/picture">
                  <pic:nvPicPr>
                    <pic:cNvPr id="229" name="IM 229"/>
                    <pic:cNvPicPr/>
                  </pic:nvPicPr>
                  <pic:blipFill>
                    <a:blip r:embed="rId6"/>
                    <a:stretch>
                      <a:fillRect/>
                    </a:stretch>
                  </pic:blipFill>
                  <pic:spPr>
                    <a:xfrm>
                      <a:off x="0" y="0"/>
                      <a:ext cx="5550535" cy="16509"/>
                    </a:xfrm>
                    <a:prstGeom prst="rect">
                      <a:avLst/>
                    </a:prstGeom>
                  </pic:spPr>
                </pic:pic>
              </a:graphicData>
            </a:graphic>
          </wp:inline>
        </w:drawing>
      </w:r>
    </w:p>
    <w:p w14:paraId="0A4E7E95">
      <w:pPr>
        <w:spacing w:before="106" w:line="183" w:lineRule="auto"/>
        <w:ind w:firstLine="231"/>
        <w:rPr>
          <w:rFonts w:eastAsiaTheme="minorEastAsia"/>
        </w:rPr>
      </w:pPr>
      <w:r>
        <w:rPr>
          <w:rFonts w:ascii="仿宋" w:hAnsi="仿宋" w:eastAsia="仿宋" w:cs="仿宋"/>
          <w:sz w:val="32"/>
          <w:szCs w:val="32"/>
        </w:rPr>
        <w:t>本文书一式</w:t>
      </w:r>
      <w:r>
        <w:rPr>
          <w:rFonts w:hint="eastAsia" w:ascii="仿宋" w:hAnsi="仿宋" w:eastAsia="仿宋" w:cs="仿宋"/>
          <w:sz w:val="32"/>
          <w:szCs w:val="32"/>
        </w:rPr>
        <w:t>二</w:t>
      </w:r>
      <w:r>
        <w:rPr>
          <w:rFonts w:ascii="仿宋" w:hAnsi="仿宋" w:eastAsia="仿宋" w:cs="仿宋"/>
          <w:sz w:val="32"/>
          <w:szCs w:val="32"/>
        </w:rPr>
        <w:t>份，</w:t>
      </w:r>
      <w:r>
        <w:rPr>
          <w:rFonts w:hint="eastAsia" w:ascii="仿宋" w:hAnsi="仿宋" w:eastAsia="仿宋" w:cs="仿宋"/>
          <w:sz w:val="32"/>
          <w:szCs w:val="32"/>
        </w:rPr>
        <w:t>一</w:t>
      </w:r>
      <w:r>
        <w:rPr>
          <w:rFonts w:ascii="仿宋" w:hAnsi="仿宋" w:eastAsia="仿宋" w:cs="仿宋"/>
          <w:sz w:val="32"/>
          <w:szCs w:val="32"/>
        </w:rPr>
        <w:t>份送达，</w:t>
      </w:r>
      <w:r>
        <w:rPr>
          <w:rFonts w:hint="eastAsia" w:ascii="仿宋" w:hAnsi="仿宋" w:eastAsia="仿宋" w:cs="仿宋"/>
          <w:sz w:val="32"/>
          <w:szCs w:val="32"/>
        </w:rPr>
        <w:t>一</w:t>
      </w:r>
      <w:r>
        <w:rPr>
          <w:rFonts w:ascii="仿宋" w:hAnsi="仿宋" w:eastAsia="仿宋" w:cs="仿宋"/>
          <w:sz w:val="32"/>
          <w:szCs w:val="32"/>
        </w:rPr>
        <w:t>份归档</w:t>
      </w:r>
      <w:r>
        <w:rPr>
          <w:rFonts w:hint="eastAsia" w:ascii="仿宋" w:hAnsi="仿宋" w:eastAsia="仿宋" w:cs="仿宋"/>
          <w:sz w:val="32"/>
          <w:szCs w:val="32"/>
        </w:rPr>
        <w:t>。</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Microsoft JhengHei">
    <w:panose1 w:val="020B0604030504040204"/>
    <w:charset w:val="88"/>
    <w:family w:val="swiss"/>
    <w:pitch w:val="default"/>
    <w:sig w:usb0="00000087" w:usb1="28AF4000" w:usb2="00000016" w:usb3="00000000" w:csb0="00100009"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39F0D">
    <w:pPr>
      <w:spacing w:line="196" w:lineRule="exact"/>
      <w:rPr>
        <w:rFonts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60233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F60233A">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55A2E">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91A"/>
    <w:rsid w:val="000057FC"/>
    <w:rsid w:val="000F1723"/>
    <w:rsid w:val="00296E1B"/>
    <w:rsid w:val="002B4ED3"/>
    <w:rsid w:val="00352CCA"/>
    <w:rsid w:val="0039330B"/>
    <w:rsid w:val="003B7C5A"/>
    <w:rsid w:val="003F4037"/>
    <w:rsid w:val="004214BB"/>
    <w:rsid w:val="005A391A"/>
    <w:rsid w:val="005A4074"/>
    <w:rsid w:val="006470B5"/>
    <w:rsid w:val="00696CCB"/>
    <w:rsid w:val="006A1A87"/>
    <w:rsid w:val="006E50BE"/>
    <w:rsid w:val="00763327"/>
    <w:rsid w:val="007954B7"/>
    <w:rsid w:val="0087371B"/>
    <w:rsid w:val="008C7E35"/>
    <w:rsid w:val="008D5826"/>
    <w:rsid w:val="008F42EB"/>
    <w:rsid w:val="009661F9"/>
    <w:rsid w:val="00970AFF"/>
    <w:rsid w:val="00A17D00"/>
    <w:rsid w:val="00AA7B33"/>
    <w:rsid w:val="00AB12FC"/>
    <w:rsid w:val="00AC1351"/>
    <w:rsid w:val="00AD5901"/>
    <w:rsid w:val="00AE7F13"/>
    <w:rsid w:val="00B5108B"/>
    <w:rsid w:val="00C138F6"/>
    <w:rsid w:val="00C9649C"/>
    <w:rsid w:val="00CD1F53"/>
    <w:rsid w:val="00D349DA"/>
    <w:rsid w:val="00D528AB"/>
    <w:rsid w:val="00DC6C6B"/>
    <w:rsid w:val="00E61D5E"/>
    <w:rsid w:val="00E65DF8"/>
    <w:rsid w:val="00E93293"/>
    <w:rsid w:val="00E95A6F"/>
    <w:rsid w:val="00EB2CE8"/>
    <w:rsid w:val="00F618DB"/>
    <w:rsid w:val="00FF6FFF"/>
    <w:rsid w:val="08D471C8"/>
    <w:rsid w:val="09CB44EE"/>
    <w:rsid w:val="0E25075D"/>
    <w:rsid w:val="0FE840DA"/>
    <w:rsid w:val="146156DC"/>
    <w:rsid w:val="15596417"/>
    <w:rsid w:val="1D7274E7"/>
    <w:rsid w:val="24B04C5D"/>
    <w:rsid w:val="280B19D9"/>
    <w:rsid w:val="2A121419"/>
    <w:rsid w:val="2AA40F76"/>
    <w:rsid w:val="2F1D7756"/>
    <w:rsid w:val="35AD1356"/>
    <w:rsid w:val="366E0655"/>
    <w:rsid w:val="3F1F1EA4"/>
    <w:rsid w:val="4E613A60"/>
    <w:rsid w:val="531B6392"/>
    <w:rsid w:val="53FB1FA3"/>
    <w:rsid w:val="56840BD5"/>
    <w:rsid w:val="582C02E0"/>
    <w:rsid w:val="5B80523D"/>
    <w:rsid w:val="5CD44F12"/>
    <w:rsid w:val="60541048"/>
    <w:rsid w:val="655B4AB8"/>
    <w:rsid w:val="6B7302B5"/>
    <w:rsid w:val="6EF722CA"/>
    <w:rsid w:val="74886B4A"/>
    <w:rsid w:val="755016F0"/>
    <w:rsid w:val="761C585A"/>
    <w:rsid w:val="79C77AB2"/>
    <w:rsid w:val="7D4A380C"/>
    <w:rsid w:val="7E4F29BF"/>
    <w:rsid w:val="7E6E123D"/>
    <w:rsid w:val="7F9D3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widowControl w:val="0"/>
      <w:tabs>
        <w:tab w:val="center" w:pos="4153"/>
        <w:tab w:val="right" w:pos="8306"/>
      </w:tabs>
      <w:kinsoku/>
      <w:autoSpaceDE/>
      <w:autoSpaceDN/>
      <w:adjustRightInd/>
      <w:textAlignment w:val="auto"/>
    </w:pPr>
    <w:rPr>
      <w:rFonts w:asciiTheme="minorHAnsi" w:hAnsiTheme="minorHAnsi" w:eastAsiaTheme="minorEastAsia" w:cstheme="minorBidi"/>
      <w:snapToGrid/>
      <w:color w:val="auto"/>
      <w:kern w:val="2"/>
      <w:sz w:val="18"/>
      <w:szCs w:val="18"/>
    </w:rPr>
  </w:style>
  <w:style w:type="paragraph" w:styleId="5">
    <w:name w:val="header"/>
    <w:basedOn w:val="1"/>
    <w:link w:val="10"/>
    <w:unhideWhenUsed/>
    <w:qFormat/>
    <w:uiPriority w:val="99"/>
    <w:pPr>
      <w:widowControl w:val="0"/>
      <w:pBdr>
        <w:bottom w:val="single" w:color="auto" w:sz="6" w:space="1"/>
      </w:pBdr>
      <w:tabs>
        <w:tab w:val="center" w:pos="4153"/>
        <w:tab w:val="right" w:pos="8306"/>
      </w:tabs>
      <w:kinsoku/>
      <w:autoSpaceDE/>
      <w:autoSpaceDN/>
      <w:adjustRightInd/>
      <w:jc w:val="center"/>
      <w:textAlignment w:val="auto"/>
    </w:pPr>
    <w:rPr>
      <w:rFonts w:asciiTheme="minorHAnsi" w:hAnsiTheme="minorHAnsi" w:eastAsiaTheme="minorEastAsia" w:cstheme="minorBidi"/>
      <w:snapToGrid/>
      <w:color w:val="auto"/>
      <w:kern w:val="2"/>
      <w:sz w:val="18"/>
      <w:szCs w:val="18"/>
    </w:rPr>
  </w:style>
  <w:style w:type="paragraph" w:styleId="6">
    <w:name w:val="Normal (Web)"/>
    <w:basedOn w:val="1"/>
    <w:qFormat/>
    <w:uiPriority w:val="0"/>
    <w:pPr>
      <w:spacing w:before="100" w:beforeAutospacing="1" w:after="100" w:afterAutospacing="1"/>
      <w:ind w:firstLine="200" w:firstLineChars="200"/>
      <w:jc w:val="left"/>
    </w:pPr>
    <w:rPr>
      <w:kern w:val="0"/>
      <w:sz w:val="24"/>
      <w:szCs w:val="24"/>
    </w:rPr>
  </w:style>
  <w:style w:type="paragraph" w:styleId="7">
    <w:name w:val="Title"/>
    <w:basedOn w:val="1"/>
    <w:next w:val="1"/>
    <w:link w:val="12"/>
    <w:qFormat/>
    <w:uiPriority w:val="0"/>
    <w:pPr>
      <w:spacing w:line="199" w:lineRule="auto"/>
      <w:jc w:val="center"/>
      <w:outlineLvl w:val="0"/>
    </w:pPr>
    <w:rPr>
      <w:rFonts w:ascii="Microsoft JhengHei" w:hAnsi="Microsoft JhengHei" w:eastAsia="Microsoft JhengHei" w:cs="Microsoft JhengHei"/>
      <w:spacing w:val="-2"/>
      <w:sz w:val="44"/>
      <w:szCs w:val="44"/>
    </w:rPr>
  </w:style>
  <w:style w:type="character" w:customStyle="1" w:styleId="10">
    <w:name w:val="页眉 字符"/>
    <w:basedOn w:val="9"/>
    <w:link w:val="5"/>
    <w:qFormat/>
    <w:uiPriority w:val="99"/>
    <w:rPr>
      <w:sz w:val="18"/>
      <w:szCs w:val="18"/>
    </w:rPr>
  </w:style>
  <w:style w:type="character" w:customStyle="1" w:styleId="11">
    <w:name w:val="页脚 字符"/>
    <w:basedOn w:val="9"/>
    <w:link w:val="4"/>
    <w:qFormat/>
    <w:uiPriority w:val="99"/>
    <w:rPr>
      <w:sz w:val="18"/>
      <w:szCs w:val="18"/>
    </w:rPr>
  </w:style>
  <w:style w:type="character" w:customStyle="1" w:styleId="12">
    <w:name w:val="标题 字符"/>
    <w:basedOn w:val="9"/>
    <w:link w:val="7"/>
    <w:qFormat/>
    <w:uiPriority w:val="0"/>
    <w:rPr>
      <w:rFonts w:ascii="Microsoft JhengHei" w:hAnsi="Microsoft JhengHei" w:eastAsia="Microsoft JhengHei" w:cs="Microsoft JhengHei"/>
      <w:snapToGrid w:val="0"/>
      <w:color w:val="000000"/>
      <w:spacing w:val="-2"/>
      <w:kern w:val="0"/>
      <w:sz w:val="44"/>
      <w:szCs w:val="44"/>
    </w:rPr>
  </w:style>
  <w:style w:type="character" w:customStyle="1" w:styleId="13">
    <w:name w:val="批注框文本 字符"/>
    <w:basedOn w:val="9"/>
    <w:link w:val="3"/>
    <w:semiHidden/>
    <w:qFormat/>
    <w:uiPriority w:val="99"/>
    <w:rPr>
      <w:rFonts w:ascii="Arial" w:hAnsi="Arial" w:eastAsia="Arial" w:cs="Arial"/>
      <w:snapToGrid w:val="0"/>
      <w:color w:val="000000"/>
      <w:kern w:val="0"/>
      <w:sz w:val="18"/>
      <w:szCs w:val="18"/>
    </w:rPr>
  </w:style>
  <w:style w:type="character" w:customStyle="1" w:styleId="14">
    <w:name w:val="日期 字符"/>
    <w:basedOn w:val="9"/>
    <w:link w:val="2"/>
    <w:semiHidden/>
    <w:qFormat/>
    <w:uiPriority w:val="99"/>
    <w:rPr>
      <w:rFonts w:ascii="Arial" w:hAnsi="Arial" w:eastAsia="Arial" w:cs="Arial"/>
      <w:snapToGrid w:val="0"/>
      <w:color w:val="000000"/>
      <w:kern w:val="0"/>
      <w:szCs w:val="21"/>
    </w:rPr>
  </w:style>
  <w:style w:type="character" w:customStyle="1" w:styleId="15">
    <w:name w:val="样式 仿宋_GB2312"/>
    <w:basedOn w:val="9"/>
    <w:qFormat/>
    <w:uiPriority w:val="0"/>
    <w:rPr>
      <w:rFonts w:ascii="仿宋_GB2312" w:hAnsi="仿宋_GB2312"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c470ee93-920a-4ab8-ad0f-d01911148bee</errorID>
      <errorWord>当事人其</errorWord>
      <group>L1_Grammar</group>
      <groupName>语法问题</groupName>
      <ability>L2_Order</ability>
      <abilityName>语序不当</abilityName>
      <candidateList>
        <item>当事人</item>
      </candidateList>
      <explain>句子可能没有遵循时空、逻辑顺序，或者介词、关联词等位置不当。</explain>
      <paraID>6EFA1B29</paraID>
      <start>517</start>
      <end>521</end>
      <status>ignored</status>
      <modifiedWord/>
      <trackRevisions>false</trackRevisions>
    </reviewItem>
    <reviewItem>
      <errorID>1f3e2710-2203-45b1-9e6c-56a1cfb88960</errorID>
      <errorWord>身份证</errorWord>
      <group>L1_Sensitive</group>
      <groupName>敏感问题</groupName>
      <ability>L2_UserSensitive</ability>
      <abilityName>自定义敏感词</abilityName>
      <candidateList/>
      <explain>来自自定义敏感词库。</explain>
      <paraID>7A6AF8E6</paraID>
      <start>120</start>
      <end>123</end>
      <status>ignored</status>
      <modifiedWord/>
      <trackRevisions>false</trackRevisions>
    </reviewItem>
    <reviewItem>
      <errorID>9530dbba-eec4-4298-a9fa-631ada26a675</errorID>
      <errorWord>(</errorWord>
      <group>L1_Format</group>
      <groupName>格式问题</groupName>
      <ability>L2_HalfPunc</ability>
      <abilityName>全半角检查</abilityName>
      <candidateList>
        <item>（</item>
      </candidateList>
      <explain>文本全半角错误。</explain>
      <paraID>74DB9812</paraID>
      <start>28</start>
      <end>29</end>
      <status>ignored</status>
      <modifiedWord/>
      <trackRevisions>false</trackRevisions>
    </reviewItem>
    <reviewItem>
      <errorID>20611a06-46a6-41ad-b712-e2ac5f7a9e80</errorID>
      <errorWord>)</errorWord>
      <group>L1_Format</group>
      <groupName>格式问题</groupName>
      <ability>L2_HalfPunc</ability>
      <abilityName>全半角检查</abilityName>
      <candidateList>
        <item>）</item>
      </candidateList>
      <explain>文本全半角错误。</explain>
      <paraID>74DB9812</paraID>
      <start>47</start>
      <end>48</end>
      <status>ignored</status>
      <modifiedWord/>
      <trackRevisions>false</trackRevisions>
    </reviewItem>
    <reviewItem>
      <errorID>81aed2bc-141c-4ce1-bc56-db818f2d86e4</errorID>
      <errorWord>&lt;</errorWord>
      <group>L1_Format</group>
      <groupName>格式问题</groupName>
      <ability>L2_HalfPunc</ability>
      <abilityName>全半角检查</abilityName>
      <candidateList>
        <item>〈</item>
      </candidateList>
      <explain>文本全半角错误。</explain>
      <paraID>148A05ED</paraID>
      <start>117</start>
      <end>118</end>
      <status>unmodified</status>
      <modifiedWord/>
      <trackRevisions>false</trackRevisions>
    </reviewItem>
    <reviewItem>
      <errorID>471b1404-65dc-43b0-a1c2-04852804f22f</errorID>
      <errorWord>&gt;</errorWord>
      <group>L1_Format</group>
      <groupName>格式问题</groupName>
      <ability>L2_HalfPunc</ability>
      <abilityName>全半角检查</abilityName>
      <candidateList>
        <item>〉</item>
      </candidateList>
      <explain>文本全半角错误。</explain>
      <paraID>148A05ED</paraID>
      <start>123</start>
      <end>124</end>
      <status>unmodified</status>
      <modifiedWord/>
      <trackRevisions>false</trackRevisions>
    </reviewItem>
    <reviewItem>
      <errorID>3121c444-e54e-4a76-8aae-1e03497f3731</errorID>
      <errorWord>情节</errorWord>
      <group>L1_Grammar</group>
      <groupName>语法问题</groupName>
      <ability>L2_Order</ability>
      <abilityName>语序不当</abilityName>
      <candidateList>
        <item>处罚</item>
      </candidateList>
      <explain>句子可能没有遵循时空、逻辑顺序，或者介词、关联词等位置不当。</explain>
      <paraID>148A05ED</paraID>
      <start>139</start>
      <end>141</end>
      <status>unmodified</status>
      <modifiedWord/>
      <trackRevisions>false</trackRevisions>
    </reviewItem>
    <reviewItem>
      <errorID>c7e408bd-ba8e-406d-9ee5-e7d0dcef093e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3DF6E110</paraID>
      <start>0</start>
      <end>2</end>
      <status>unmodified</status>
      <modifiedWord/>
      <trackRevisions>false</trackRevisions>
    </reviewItem>
    <reviewItem>
      <errorID>aef1474f-71c0-4222-9757-b037fccb747f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3EBBF088</paraID>
      <start>0</start>
      <end>2</end>
      <status>unmodified</status>
      <modifiedWord/>
      <trackRevisions>false</trackRevisions>
    </reviewItem>
    <reviewItem>
      <errorID>559bc1fa-1924-4616-90ac-8c4c481abf8b</errorID>
      <errorWord>以</errorWord>
      <group>L1_Word</group>
      <groupName>字词问题</groupName>
      <ability>L2_Typo</ability>
      <abilityName>字词错误</abilityName>
      <candidateList>
        <item>以在</item>
      </candidateList>
      <explain/>
      <paraID>5B3E6CFA</paraID>
      <start>49</start>
      <end>50</end>
      <status>unmodified</status>
      <modifiedWord/>
      <trackRevisions>false</trackRevisions>
    </reviewItem>
    <reviewItem>
      <errorID>3d404ef1-4004-46f4-82d6-61edb7ebdaa3</errorID>
      <errorWord>法律、法规</errorWord>
      <group>L1_Word</group>
      <groupName>字词问题</groupName>
      <ability>L2_Typo</ability>
      <abilityName>字词错误</abilityName>
      <candidateList>
        <item>法律法规</item>
      </candidateList>
      <explain/>
      <paraID>5B3E6CFA</paraID>
      <start>114</start>
      <end>119</end>
      <status>unmodified</status>
      <modifiedWord/>
      <trackRevisions>false</trackRevisions>
    </reviewItem>
    <reviewItem>
      <errorID>a1f089dd-3f74-4b77-9d2d-18a6a63689fc</errorID>
      <errorWord>一式二份</errorWord>
      <group>L1_Word</group>
      <groupName>字词问题</groupName>
      <ability>L2_Typo</ability>
      <abilityName>字词错误</abilityName>
      <candidateList>
        <item>一式两份</item>
      </candidateList>
      <explain/>
      <paraID> A4E7E95</paraID>
      <start>3</start>
      <end>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26aa5f-5173-43f2-a9e2-697b7f9d6160}">
  <ds:schemaRefs/>
</ds:datastoreItem>
</file>

<file path=docProps/app.xml><?xml version="1.0" encoding="utf-8"?>
<Properties xmlns="http://schemas.openxmlformats.org/officeDocument/2006/extended-properties" xmlns:vt="http://schemas.openxmlformats.org/officeDocument/2006/docPropsVTypes">
  <Template>Normal</Template>
  <Pages>4</Pages>
  <Words>2120</Words>
  <Characters>2284</Characters>
  <Lines>11</Lines>
  <Paragraphs>3</Paragraphs>
  <TotalTime>2</TotalTime>
  <ScaleCrop>false</ScaleCrop>
  <LinksUpToDate>false</LinksUpToDate>
  <CharactersWithSpaces>2474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2024-05-09T06:45:00Z</dcterms:created>
  <dc:creator>王雅芬</dc:creator>
  <cp:lastModifiedBy>天天8871</cp:lastModifiedBy>
  <cp:lastPrinted>2026-02-11T03:31:00Z</cp:lastPrinted>
  <dcterms:modified xsi:type="dcterms:W3CDTF">2026-03-05T01:58:32Z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eyJoZGlkIjoiOTQ4NzBkNmM4Yzk5NTU5YTIwNTkxZTRlZDYxMzgyNTAiLCJ1c2VySWQiOiI3MjUzNTA0OTgifQ==</vt:lpwstr>
  </property>
  <property fmtid="{D5CDD505-2E9C-101B-9397-08002B2CF9AE}" pid="3" name="KSOProductBuildVer">
    <vt:lpwstr>2052-12.1.0.25225</vt:lpwstr>
  </property>
  <property fmtid="{D5CDD505-2E9C-101B-9397-08002B2CF9AE}" pid="4" name="ICV">
    <vt:lpwstr>B07A6FFFD0AB4DE8BCA5C69EA79165B8_12</vt:lpwstr>
  </property>
</Properties>
</file>